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1D561" w14:textId="77777777" w:rsidR="002B251D" w:rsidRDefault="00942297">
      <w:pPr>
        <w:pStyle w:val="a0"/>
        <w:overflowPunct w:val="0"/>
        <w:spacing w:before="100" w:line="480" w:lineRule="exact"/>
        <w:jc w:val="center"/>
        <w:rPr>
          <w:rFonts w:ascii="標楷體" w:eastAsia="標楷體" w:hAnsi="標楷體"/>
          <w:sz w:val="40"/>
          <w:szCs w:val="40"/>
        </w:rPr>
      </w:pPr>
      <w:r>
        <w:rPr>
          <w:rFonts w:ascii="標楷體" w:eastAsia="標楷體" w:hAnsi="標楷體"/>
          <w:sz w:val="40"/>
          <w:szCs w:val="40"/>
        </w:rPr>
        <w:t>教育部對外華語教學能力認證作業要點修正規定</w:t>
      </w:r>
    </w:p>
    <w:p w14:paraId="3C73ECFD" w14:textId="77777777" w:rsidR="002B251D" w:rsidRDefault="00942297">
      <w:pPr>
        <w:pStyle w:val="a0"/>
        <w:overflowPunct w:val="0"/>
        <w:spacing w:line="460" w:lineRule="exact"/>
        <w:ind w:left="560" w:hanging="560"/>
        <w:jc w:val="both"/>
        <w:rPr>
          <w:rFonts w:ascii="標楷體" w:eastAsia="標楷體" w:hAnsi="標楷體"/>
          <w:sz w:val="28"/>
          <w:szCs w:val="28"/>
        </w:rPr>
      </w:pPr>
      <w:r>
        <w:rPr>
          <w:rFonts w:ascii="標楷體" w:eastAsia="標楷體" w:hAnsi="標楷體"/>
          <w:sz w:val="28"/>
          <w:szCs w:val="28"/>
        </w:rPr>
        <w:t>一、教育部（以下簡稱本部）為推廣我國華語教育，提升對外華語教學人員之教學能力，確立其專業地位，特訂定本要點。</w:t>
      </w:r>
    </w:p>
    <w:p w14:paraId="46577E67" w14:textId="77777777" w:rsidR="002B251D" w:rsidRDefault="00942297">
      <w:pPr>
        <w:pStyle w:val="a0"/>
        <w:overflowPunct w:val="0"/>
        <w:spacing w:line="460" w:lineRule="exact"/>
        <w:ind w:left="560" w:hanging="560"/>
        <w:jc w:val="both"/>
        <w:rPr>
          <w:rFonts w:ascii="標楷體" w:eastAsia="標楷體" w:hAnsi="標楷體"/>
          <w:sz w:val="28"/>
          <w:szCs w:val="28"/>
        </w:rPr>
      </w:pPr>
      <w:r>
        <w:rPr>
          <w:rFonts w:ascii="標楷體" w:eastAsia="標楷體" w:hAnsi="標楷體"/>
          <w:sz w:val="28"/>
          <w:szCs w:val="28"/>
        </w:rPr>
        <w:t>二、參加對外華語教學能力認證考試（以下簡稱本考試）合格且符合本考試外語能力認定基準者，由本部發給「教育部對外華語教學能力證書」（以下簡稱本證書）。</w:t>
      </w:r>
    </w:p>
    <w:p w14:paraId="2598FCC0" w14:textId="77777777" w:rsidR="002B251D" w:rsidRDefault="00942297">
      <w:pPr>
        <w:pStyle w:val="a0"/>
        <w:overflowPunct w:val="0"/>
        <w:spacing w:line="460" w:lineRule="exact"/>
        <w:ind w:firstLine="1120"/>
        <w:rPr>
          <w:rFonts w:ascii="標楷體" w:eastAsia="標楷體" w:hAnsi="標楷體"/>
          <w:sz w:val="28"/>
          <w:szCs w:val="28"/>
        </w:rPr>
      </w:pPr>
      <w:r>
        <w:rPr>
          <w:rFonts w:ascii="標楷體" w:eastAsia="標楷體" w:hAnsi="標楷體"/>
          <w:sz w:val="28"/>
          <w:szCs w:val="28"/>
        </w:rPr>
        <w:t>前項外語能力認定基準，由本部於本考試簡章中定之。</w:t>
      </w:r>
    </w:p>
    <w:p w14:paraId="79252897" w14:textId="77777777" w:rsidR="002B251D" w:rsidRDefault="00942297">
      <w:pPr>
        <w:pStyle w:val="a0"/>
        <w:overflowPunct w:val="0"/>
        <w:spacing w:line="460" w:lineRule="exact"/>
        <w:ind w:left="560" w:hanging="560"/>
        <w:jc w:val="both"/>
        <w:rPr>
          <w:rFonts w:ascii="標楷體" w:eastAsia="標楷體" w:hAnsi="標楷體"/>
          <w:sz w:val="28"/>
          <w:szCs w:val="28"/>
        </w:rPr>
      </w:pPr>
      <w:r>
        <w:rPr>
          <w:rFonts w:ascii="標楷體" w:eastAsia="標楷體" w:hAnsi="標楷體"/>
          <w:sz w:val="28"/>
          <w:szCs w:val="28"/>
        </w:rPr>
        <w:t>三、對外華語教學能力認證，由本部辦理，必要時得委由機關（構）或團體研發對外華語教學能力認證工具、辦理試</w:t>
      </w:r>
      <w:proofErr w:type="gramStart"/>
      <w:r>
        <w:rPr>
          <w:rFonts w:ascii="標楷體" w:eastAsia="標楷體" w:hAnsi="標楷體"/>
          <w:sz w:val="28"/>
          <w:szCs w:val="28"/>
        </w:rPr>
        <w:t>務</w:t>
      </w:r>
      <w:proofErr w:type="gramEnd"/>
      <w:r>
        <w:rPr>
          <w:rFonts w:ascii="標楷體" w:eastAsia="標楷體" w:hAnsi="標楷體"/>
          <w:sz w:val="28"/>
          <w:szCs w:val="28"/>
        </w:rPr>
        <w:t>、審查及相關行政事務。</w:t>
      </w:r>
    </w:p>
    <w:p w14:paraId="219316B4" w14:textId="77777777" w:rsidR="002B251D" w:rsidRDefault="00942297">
      <w:pPr>
        <w:pStyle w:val="a0"/>
        <w:overflowPunct w:val="0"/>
        <w:spacing w:line="460" w:lineRule="exact"/>
        <w:ind w:left="567" w:hanging="567"/>
        <w:jc w:val="both"/>
        <w:rPr>
          <w:rFonts w:ascii="標楷體" w:eastAsia="標楷體" w:hAnsi="標楷體"/>
          <w:sz w:val="28"/>
          <w:szCs w:val="28"/>
        </w:rPr>
      </w:pPr>
      <w:r>
        <w:rPr>
          <w:rFonts w:ascii="標楷體" w:eastAsia="標楷體" w:hAnsi="標楷體"/>
          <w:sz w:val="28"/>
          <w:szCs w:val="28"/>
        </w:rPr>
        <w:t>四、本考試由本部每年定期辦理一次為原則，並得視實際需要，赴海外辦理。</w:t>
      </w:r>
    </w:p>
    <w:p w14:paraId="22DAB5F5" w14:textId="77777777" w:rsidR="002B251D" w:rsidRDefault="00942297">
      <w:pPr>
        <w:pStyle w:val="a0"/>
        <w:overflowPunct w:val="0"/>
        <w:spacing w:line="460" w:lineRule="exact"/>
        <w:ind w:left="567" w:hanging="567"/>
        <w:jc w:val="both"/>
        <w:rPr>
          <w:rFonts w:ascii="標楷體" w:eastAsia="標楷體" w:hAnsi="標楷體"/>
          <w:sz w:val="28"/>
          <w:szCs w:val="28"/>
        </w:rPr>
      </w:pPr>
      <w:r>
        <w:rPr>
          <w:rFonts w:ascii="標楷體" w:eastAsia="標楷體" w:hAnsi="標楷體"/>
          <w:sz w:val="28"/>
          <w:szCs w:val="28"/>
        </w:rPr>
        <w:t>五、本部應將本考試報名程序、費用、考試日期、地點及成績複查等相關事項，載明於考試簡章，並於考試舉行二個月前公告之。</w:t>
      </w:r>
    </w:p>
    <w:p w14:paraId="3B83452E" w14:textId="77777777" w:rsidR="002B251D" w:rsidRDefault="00942297">
      <w:pPr>
        <w:pStyle w:val="a0"/>
        <w:overflowPunct w:val="0"/>
        <w:spacing w:line="460" w:lineRule="exact"/>
        <w:ind w:left="567" w:hanging="567"/>
        <w:rPr>
          <w:rFonts w:ascii="標楷體" w:eastAsia="標楷體" w:hAnsi="標楷體"/>
          <w:sz w:val="28"/>
          <w:szCs w:val="28"/>
        </w:rPr>
      </w:pPr>
      <w:r>
        <w:rPr>
          <w:rFonts w:ascii="標楷體" w:eastAsia="標楷體" w:hAnsi="標楷體"/>
          <w:sz w:val="28"/>
          <w:szCs w:val="28"/>
        </w:rPr>
        <w:t>六、具下列資格之一，得報名參加本考試：</w:t>
      </w:r>
    </w:p>
    <w:p w14:paraId="3601D2FF" w14:textId="77777777" w:rsidR="002B251D" w:rsidRDefault="00942297">
      <w:pPr>
        <w:pStyle w:val="a0"/>
        <w:numPr>
          <w:ilvl w:val="0"/>
          <w:numId w:val="1"/>
        </w:numPr>
        <w:overflowPunct w:val="0"/>
        <w:spacing w:line="460" w:lineRule="exact"/>
        <w:ind w:left="1398" w:hanging="832"/>
        <w:jc w:val="both"/>
        <w:rPr>
          <w:rFonts w:ascii="標楷體" w:eastAsia="標楷體" w:hAnsi="標楷體"/>
          <w:sz w:val="28"/>
          <w:szCs w:val="28"/>
        </w:rPr>
      </w:pPr>
      <w:r>
        <w:rPr>
          <w:rFonts w:ascii="標楷體" w:eastAsia="標楷體" w:hAnsi="標楷體"/>
          <w:sz w:val="28"/>
          <w:szCs w:val="28"/>
        </w:rPr>
        <w:t>取得學士學位者：國內公立或已立案之私立大學或獨立學院畢業，或本部認可之國外大學或獨立學院畢業，取得學士學位。</w:t>
      </w:r>
    </w:p>
    <w:p w14:paraId="7F085FF1" w14:textId="77777777" w:rsidR="002B251D" w:rsidRDefault="00942297">
      <w:pPr>
        <w:pStyle w:val="a0"/>
        <w:numPr>
          <w:ilvl w:val="0"/>
          <w:numId w:val="1"/>
        </w:numPr>
        <w:overflowPunct w:val="0"/>
        <w:spacing w:line="460" w:lineRule="exact"/>
        <w:ind w:left="1398" w:hanging="832"/>
        <w:rPr>
          <w:rFonts w:ascii="標楷體" w:eastAsia="標楷體" w:hAnsi="標楷體"/>
          <w:sz w:val="28"/>
          <w:szCs w:val="28"/>
        </w:rPr>
      </w:pPr>
      <w:r>
        <w:rPr>
          <w:rFonts w:ascii="標楷體" w:eastAsia="標楷體" w:hAnsi="標楷體"/>
          <w:sz w:val="28"/>
          <w:szCs w:val="28"/>
        </w:rPr>
        <w:t>符合入學大學同等學力認定標準第五條規定者：</w:t>
      </w:r>
      <w:r>
        <w:rPr>
          <w:rFonts w:ascii="標楷體" w:eastAsia="標楷體" w:hAnsi="標楷體"/>
          <w:sz w:val="28"/>
          <w:szCs w:val="28"/>
        </w:rPr>
        <w:t xml:space="preserve"> </w:t>
      </w:r>
    </w:p>
    <w:p w14:paraId="7F55A28C" w14:textId="77777777" w:rsidR="002B251D" w:rsidRDefault="00942297">
      <w:pPr>
        <w:pStyle w:val="a0"/>
        <w:numPr>
          <w:ilvl w:val="0"/>
          <w:numId w:val="2"/>
        </w:numPr>
        <w:overflowPunct w:val="0"/>
        <w:spacing w:line="460" w:lineRule="exact"/>
        <w:ind w:left="1940" w:hanging="390"/>
        <w:jc w:val="both"/>
        <w:rPr>
          <w:rFonts w:ascii="標楷體" w:eastAsia="標楷體" w:hAnsi="標楷體"/>
          <w:sz w:val="28"/>
          <w:szCs w:val="28"/>
        </w:rPr>
      </w:pPr>
      <w:r>
        <w:rPr>
          <w:rFonts w:ascii="標楷體" w:eastAsia="標楷體" w:hAnsi="標楷體"/>
          <w:sz w:val="28"/>
          <w:szCs w:val="28"/>
        </w:rPr>
        <w:t>在學士班肄業，僅未修滿規定修業年限最後一年，因故退學或休學，自規定修業年限最後一年之始日起算已滿二年，持有修業證明書或休學證明書，並檢附歷年成績單。</w:t>
      </w:r>
    </w:p>
    <w:p w14:paraId="1349DAC2" w14:textId="77777777" w:rsidR="002B251D" w:rsidRDefault="00942297">
      <w:pPr>
        <w:pStyle w:val="a0"/>
        <w:numPr>
          <w:ilvl w:val="0"/>
          <w:numId w:val="2"/>
        </w:numPr>
        <w:overflowPunct w:val="0"/>
        <w:spacing w:line="460" w:lineRule="exact"/>
        <w:ind w:left="1940" w:hanging="390"/>
        <w:jc w:val="both"/>
        <w:rPr>
          <w:rFonts w:ascii="標楷體" w:eastAsia="標楷體" w:hAnsi="標楷體"/>
          <w:sz w:val="28"/>
          <w:szCs w:val="28"/>
        </w:rPr>
      </w:pPr>
      <w:r>
        <w:rPr>
          <w:rFonts w:ascii="標楷體" w:eastAsia="標楷體" w:hAnsi="標楷體"/>
          <w:sz w:val="28"/>
          <w:szCs w:val="28"/>
        </w:rPr>
        <w:t>修滿學士班規定修業年限，因故未能畢業，自規定修業年限最後一年之末日起算已滿一年，持有修業證明書或休學證明書，並檢附歷年成績單。</w:t>
      </w:r>
    </w:p>
    <w:p w14:paraId="135A0EBC" w14:textId="77777777" w:rsidR="002B251D" w:rsidRDefault="00942297">
      <w:pPr>
        <w:pStyle w:val="a0"/>
        <w:numPr>
          <w:ilvl w:val="0"/>
          <w:numId w:val="2"/>
        </w:numPr>
        <w:overflowPunct w:val="0"/>
        <w:spacing w:line="460" w:lineRule="exact"/>
        <w:ind w:left="1940" w:hanging="390"/>
        <w:jc w:val="both"/>
        <w:rPr>
          <w:rFonts w:ascii="標楷體" w:eastAsia="標楷體" w:hAnsi="標楷體"/>
          <w:sz w:val="28"/>
          <w:szCs w:val="28"/>
        </w:rPr>
      </w:pPr>
      <w:r>
        <w:rPr>
          <w:rFonts w:ascii="標楷體" w:eastAsia="標楷體" w:hAnsi="標楷體"/>
          <w:sz w:val="28"/>
          <w:szCs w:val="28"/>
        </w:rPr>
        <w:t>在大學規定修業年限六年（包括實習）以上之學士班修滿四年課程，且已修畢畢業應修學</w:t>
      </w:r>
      <w:r>
        <w:rPr>
          <w:rFonts w:ascii="標楷體" w:eastAsia="標楷體" w:hAnsi="標楷體"/>
          <w:sz w:val="28"/>
          <w:szCs w:val="28"/>
        </w:rPr>
        <w:t>分一百二十八學分以上。</w:t>
      </w:r>
    </w:p>
    <w:p w14:paraId="00F3F600" w14:textId="77777777" w:rsidR="002B251D" w:rsidRDefault="00942297">
      <w:pPr>
        <w:pStyle w:val="a0"/>
        <w:numPr>
          <w:ilvl w:val="0"/>
          <w:numId w:val="2"/>
        </w:numPr>
        <w:overflowPunct w:val="0"/>
        <w:spacing w:line="460" w:lineRule="exact"/>
        <w:ind w:left="1940" w:hanging="390"/>
        <w:jc w:val="both"/>
        <w:rPr>
          <w:rFonts w:ascii="標楷體" w:eastAsia="標楷體" w:hAnsi="標楷體"/>
          <w:sz w:val="28"/>
          <w:szCs w:val="28"/>
        </w:rPr>
      </w:pPr>
      <w:r>
        <w:rPr>
          <w:rFonts w:ascii="標楷體" w:eastAsia="標楷體" w:hAnsi="標楷體"/>
          <w:sz w:val="28"/>
          <w:szCs w:val="28"/>
        </w:rPr>
        <w:t>取得專科學校畢業證書後，其為三年制者經離校二年以</w:t>
      </w:r>
      <w:r>
        <w:rPr>
          <w:rFonts w:ascii="標楷體" w:eastAsia="標楷體" w:hAnsi="標楷體"/>
          <w:sz w:val="28"/>
          <w:szCs w:val="28"/>
        </w:rPr>
        <w:lastRenderedPageBreak/>
        <w:t>上；二年制或五年制者經離校三年以上；取得專科進修（補習）學校資格證明書、專科進修學校畢業證書或專科學校畢業程度學力鑑定通過證書者，比照二年制專科學校辦理。</w:t>
      </w:r>
    </w:p>
    <w:p w14:paraId="2A311E37" w14:textId="77777777" w:rsidR="002B251D" w:rsidRDefault="00942297">
      <w:pPr>
        <w:pStyle w:val="a0"/>
        <w:numPr>
          <w:ilvl w:val="0"/>
          <w:numId w:val="2"/>
        </w:numPr>
        <w:overflowPunct w:val="0"/>
        <w:spacing w:line="460" w:lineRule="exact"/>
        <w:ind w:left="1940" w:hanging="390"/>
        <w:jc w:val="both"/>
        <w:rPr>
          <w:rFonts w:ascii="標楷體" w:eastAsia="標楷體" w:hAnsi="標楷體"/>
          <w:sz w:val="28"/>
          <w:szCs w:val="28"/>
        </w:rPr>
      </w:pPr>
      <w:r>
        <w:rPr>
          <w:rFonts w:ascii="標楷體" w:eastAsia="標楷體" w:hAnsi="標楷體"/>
          <w:sz w:val="28"/>
          <w:szCs w:val="28"/>
        </w:rPr>
        <w:t>下列國家考試及格，持有及格證書：</w:t>
      </w:r>
    </w:p>
    <w:p w14:paraId="3960F102" w14:textId="77777777" w:rsidR="002B251D" w:rsidRDefault="00942297">
      <w:pPr>
        <w:pStyle w:val="a0"/>
        <w:numPr>
          <w:ilvl w:val="1"/>
          <w:numId w:val="2"/>
        </w:numPr>
        <w:overflowPunct w:val="0"/>
        <w:spacing w:line="460" w:lineRule="exact"/>
        <w:ind w:left="2768" w:hanging="718"/>
        <w:jc w:val="both"/>
        <w:rPr>
          <w:rFonts w:ascii="標楷體" w:eastAsia="標楷體" w:hAnsi="標楷體"/>
          <w:sz w:val="28"/>
          <w:szCs w:val="28"/>
        </w:rPr>
      </w:pPr>
      <w:r>
        <w:rPr>
          <w:rFonts w:ascii="標楷體" w:eastAsia="標楷體" w:hAnsi="標楷體"/>
          <w:sz w:val="28"/>
          <w:szCs w:val="28"/>
        </w:rPr>
        <w:t>公務人員高等考試或一等、二等、三等特種考試及格。</w:t>
      </w:r>
    </w:p>
    <w:p w14:paraId="570AB493" w14:textId="77777777" w:rsidR="002B251D" w:rsidRDefault="00942297">
      <w:pPr>
        <w:pStyle w:val="a0"/>
        <w:numPr>
          <w:ilvl w:val="1"/>
          <w:numId w:val="2"/>
        </w:numPr>
        <w:overflowPunct w:val="0"/>
        <w:spacing w:line="460" w:lineRule="exact"/>
        <w:ind w:left="2768" w:hanging="718"/>
        <w:jc w:val="both"/>
        <w:rPr>
          <w:rFonts w:ascii="標楷體" w:eastAsia="標楷體" w:hAnsi="標楷體"/>
          <w:sz w:val="28"/>
          <w:szCs w:val="28"/>
        </w:rPr>
      </w:pPr>
      <w:r>
        <w:rPr>
          <w:rFonts w:ascii="標楷體" w:eastAsia="標楷體" w:hAnsi="標楷體"/>
          <w:sz w:val="28"/>
          <w:szCs w:val="28"/>
        </w:rPr>
        <w:t>專門職業及技術人員高等考試或相當等級之特種考試及格。</w:t>
      </w:r>
    </w:p>
    <w:p w14:paraId="50BE61A3" w14:textId="77777777" w:rsidR="002B251D" w:rsidRDefault="00942297">
      <w:pPr>
        <w:pStyle w:val="a0"/>
        <w:numPr>
          <w:ilvl w:val="0"/>
          <w:numId w:val="2"/>
        </w:numPr>
        <w:overflowPunct w:val="0"/>
        <w:spacing w:line="460" w:lineRule="exact"/>
        <w:ind w:left="1940" w:hanging="390"/>
        <w:jc w:val="both"/>
        <w:rPr>
          <w:rFonts w:ascii="標楷體" w:eastAsia="標楷體" w:hAnsi="標楷體"/>
          <w:sz w:val="28"/>
          <w:szCs w:val="28"/>
        </w:rPr>
      </w:pPr>
      <w:r>
        <w:rPr>
          <w:rFonts w:ascii="標楷體" w:eastAsia="標楷體" w:hAnsi="標楷體"/>
          <w:sz w:val="28"/>
          <w:szCs w:val="28"/>
        </w:rPr>
        <w:t>技能檢定合格，有下列資格之一，持有證書及證明文件：</w:t>
      </w:r>
    </w:p>
    <w:p w14:paraId="32B49C2F" w14:textId="77777777" w:rsidR="002B251D" w:rsidRDefault="00942297">
      <w:pPr>
        <w:pStyle w:val="a0"/>
        <w:numPr>
          <w:ilvl w:val="1"/>
          <w:numId w:val="2"/>
        </w:numPr>
        <w:overflowPunct w:val="0"/>
        <w:spacing w:line="460" w:lineRule="exact"/>
        <w:ind w:left="2768" w:hanging="718"/>
        <w:jc w:val="both"/>
        <w:rPr>
          <w:rFonts w:ascii="標楷體" w:eastAsia="標楷體" w:hAnsi="標楷體"/>
          <w:sz w:val="28"/>
          <w:szCs w:val="28"/>
        </w:rPr>
      </w:pPr>
      <w:r>
        <w:rPr>
          <w:rFonts w:ascii="標楷體" w:eastAsia="標楷體" w:hAnsi="標楷體"/>
          <w:sz w:val="28"/>
          <w:szCs w:val="28"/>
        </w:rPr>
        <w:t>取得甲級技術士證或相當於甲級之單一級技術士證後，從事相關工作經驗三年以上。</w:t>
      </w:r>
    </w:p>
    <w:p w14:paraId="55D8751D" w14:textId="77777777" w:rsidR="002B251D" w:rsidRDefault="00942297">
      <w:pPr>
        <w:pStyle w:val="a0"/>
        <w:numPr>
          <w:ilvl w:val="1"/>
          <w:numId w:val="2"/>
        </w:numPr>
        <w:overflowPunct w:val="0"/>
        <w:spacing w:line="460" w:lineRule="exact"/>
        <w:ind w:left="2768" w:hanging="718"/>
        <w:jc w:val="both"/>
        <w:rPr>
          <w:rFonts w:ascii="標楷體" w:eastAsia="標楷體" w:hAnsi="標楷體"/>
          <w:sz w:val="28"/>
          <w:szCs w:val="28"/>
        </w:rPr>
      </w:pPr>
      <w:r>
        <w:rPr>
          <w:rFonts w:ascii="標楷體" w:eastAsia="標楷體" w:hAnsi="標楷體"/>
          <w:sz w:val="28"/>
          <w:szCs w:val="28"/>
        </w:rPr>
        <w:t>技能檢定職類以乙級</w:t>
      </w:r>
      <w:r>
        <w:rPr>
          <w:rFonts w:ascii="標楷體" w:eastAsia="標楷體" w:hAnsi="標楷體"/>
          <w:sz w:val="28"/>
          <w:szCs w:val="28"/>
        </w:rPr>
        <w:t>為最高級別者，取得乙級技術士證或相當於乙級之單一級技術士證後，從事相關工作經驗五年以上。</w:t>
      </w:r>
    </w:p>
    <w:p w14:paraId="6C11C2A8" w14:textId="77777777" w:rsidR="002B251D" w:rsidRDefault="00942297">
      <w:pPr>
        <w:pStyle w:val="a0"/>
        <w:numPr>
          <w:ilvl w:val="0"/>
          <w:numId w:val="1"/>
        </w:numPr>
        <w:overflowPunct w:val="0"/>
        <w:spacing w:line="460" w:lineRule="exact"/>
        <w:ind w:left="1398" w:hanging="832"/>
        <w:rPr>
          <w:rFonts w:ascii="標楷體" w:eastAsia="標楷體" w:hAnsi="標楷體"/>
          <w:sz w:val="28"/>
          <w:szCs w:val="28"/>
        </w:rPr>
      </w:pPr>
      <w:r>
        <w:rPr>
          <w:rFonts w:ascii="標楷體" w:eastAsia="標楷體" w:hAnsi="標楷體"/>
          <w:sz w:val="28"/>
          <w:szCs w:val="28"/>
        </w:rPr>
        <w:t>具教學經驗者：於外國政府權責機關或外國專業團體認可之各級學校，或僑務委員會立案或備查之僑民學校從事對外華語教學，年資滿三年且教學時數達二百小時以上，取得證明，並經我國駐外使領館、代表處、辦事處或其他經外交部授權機構審核。</w:t>
      </w:r>
    </w:p>
    <w:p w14:paraId="0065A12B" w14:textId="77777777" w:rsidR="002B251D" w:rsidRDefault="00942297">
      <w:pPr>
        <w:pStyle w:val="a0"/>
        <w:numPr>
          <w:ilvl w:val="0"/>
          <w:numId w:val="1"/>
        </w:numPr>
        <w:overflowPunct w:val="0"/>
        <w:spacing w:line="460" w:lineRule="exact"/>
        <w:ind w:left="1398" w:hanging="832"/>
        <w:rPr>
          <w:rFonts w:ascii="標楷體" w:eastAsia="標楷體" w:hAnsi="標楷體"/>
          <w:sz w:val="28"/>
          <w:szCs w:val="28"/>
        </w:rPr>
      </w:pPr>
      <w:r>
        <w:rPr>
          <w:rFonts w:ascii="標楷體" w:eastAsia="標楷體" w:hAnsi="標楷體"/>
          <w:sz w:val="28"/>
          <w:szCs w:val="28"/>
        </w:rPr>
        <w:t>參加僑務委員會辦理海外青年技術訓練班二年制華語文相關類科結業，持有結業證書者。</w:t>
      </w:r>
    </w:p>
    <w:p w14:paraId="55E4A518" w14:textId="77777777" w:rsidR="002B251D" w:rsidRDefault="00942297">
      <w:pPr>
        <w:pStyle w:val="a0"/>
        <w:overflowPunct w:val="0"/>
        <w:spacing w:line="460" w:lineRule="exact"/>
        <w:ind w:left="567" w:hanging="567"/>
        <w:rPr>
          <w:rFonts w:ascii="標楷體" w:eastAsia="標楷體" w:hAnsi="標楷體"/>
          <w:sz w:val="28"/>
          <w:szCs w:val="28"/>
        </w:rPr>
      </w:pPr>
      <w:r>
        <w:rPr>
          <w:rFonts w:ascii="標楷體" w:eastAsia="標楷體" w:hAnsi="標楷體"/>
          <w:sz w:val="28"/>
          <w:szCs w:val="28"/>
        </w:rPr>
        <w:t>七、本考試應試科目為：國文與華人社會文化、漢語語言學與華語文教學及華語口語與表達。</w:t>
      </w:r>
    </w:p>
    <w:p w14:paraId="3F9E6595" w14:textId="77777777" w:rsidR="002B251D" w:rsidRDefault="00942297">
      <w:pPr>
        <w:pStyle w:val="a0"/>
        <w:overflowPunct w:val="0"/>
        <w:spacing w:line="460" w:lineRule="exact"/>
        <w:ind w:firstLine="1120"/>
        <w:rPr>
          <w:rFonts w:ascii="標楷體" w:eastAsia="標楷體" w:hAnsi="標楷體"/>
          <w:sz w:val="28"/>
          <w:szCs w:val="28"/>
        </w:rPr>
      </w:pPr>
      <w:r>
        <w:rPr>
          <w:rFonts w:ascii="標楷體" w:eastAsia="標楷體" w:hAnsi="標楷體"/>
          <w:sz w:val="28"/>
          <w:szCs w:val="28"/>
        </w:rPr>
        <w:t>前項應試科目如有變更，本部應於考試舉</w:t>
      </w:r>
      <w:r>
        <w:rPr>
          <w:rFonts w:ascii="標楷體" w:eastAsia="標楷體" w:hAnsi="標楷體"/>
          <w:sz w:val="28"/>
          <w:szCs w:val="28"/>
        </w:rPr>
        <w:t>行</w:t>
      </w:r>
      <w:proofErr w:type="gramStart"/>
      <w:r>
        <w:rPr>
          <w:rFonts w:ascii="標楷體" w:eastAsia="標楷體" w:hAnsi="標楷體"/>
          <w:sz w:val="28"/>
          <w:szCs w:val="28"/>
        </w:rPr>
        <w:t>一</w:t>
      </w:r>
      <w:proofErr w:type="gramEnd"/>
      <w:r>
        <w:rPr>
          <w:rFonts w:ascii="標楷體" w:eastAsia="標楷體" w:hAnsi="標楷體"/>
          <w:sz w:val="28"/>
          <w:szCs w:val="28"/>
        </w:rPr>
        <w:t>年前公告之。</w:t>
      </w:r>
    </w:p>
    <w:p w14:paraId="3AABE184" w14:textId="77777777" w:rsidR="002B251D" w:rsidRDefault="00942297">
      <w:pPr>
        <w:pStyle w:val="a0"/>
        <w:overflowPunct w:val="0"/>
        <w:spacing w:line="460" w:lineRule="exact"/>
        <w:ind w:left="560" w:hanging="560"/>
        <w:rPr>
          <w:rFonts w:ascii="標楷體" w:eastAsia="標楷體" w:hAnsi="標楷體"/>
          <w:sz w:val="28"/>
          <w:szCs w:val="28"/>
        </w:rPr>
      </w:pPr>
      <w:r>
        <w:rPr>
          <w:rFonts w:ascii="標楷體" w:eastAsia="標楷體" w:hAnsi="標楷體"/>
          <w:sz w:val="28"/>
          <w:szCs w:val="28"/>
        </w:rPr>
        <w:t>八、前點第一項所定應試科目成績以一百分為滿分，六十分為及格。但華語口語與表達之給分標準</w:t>
      </w:r>
      <w:proofErr w:type="gramStart"/>
      <w:r>
        <w:rPr>
          <w:rFonts w:ascii="標楷體" w:eastAsia="標楷體" w:hAnsi="標楷體"/>
          <w:sz w:val="28"/>
          <w:szCs w:val="28"/>
        </w:rPr>
        <w:t>採</w:t>
      </w:r>
      <w:proofErr w:type="gramEnd"/>
      <w:r>
        <w:rPr>
          <w:rFonts w:ascii="標楷體" w:eastAsia="標楷體" w:hAnsi="標楷體"/>
          <w:sz w:val="28"/>
          <w:szCs w:val="28"/>
        </w:rPr>
        <w:t>等級制，第六級為最高級，成績達第四級為及格。</w:t>
      </w:r>
    </w:p>
    <w:p w14:paraId="6EF75D5E" w14:textId="77777777" w:rsidR="002B251D" w:rsidRDefault="00942297">
      <w:pPr>
        <w:pStyle w:val="a0"/>
        <w:overflowPunct w:val="0"/>
        <w:spacing w:line="460" w:lineRule="exact"/>
        <w:ind w:firstLine="1120"/>
        <w:rPr>
          <w:rFonts w:ascii="標楷體" w:eastAsia="標楷體" w:hAnsi="標楷體"/>
          <w:sz w:val="28"/>
          <w:szCs w:val="28"/>
        </w:rPr>
      </w:pPr>
      <w:r>
        <w:rPr>
          <w:rFonts w:ascii="標楷體" w:eastAsia="標楷體" w:hAnsi="標楷體"/>
          <w:sz w:val="28"/>
          <w:szCs w:val="28"/>
        </w:rPr>
        <w:t>應試科目成績均及格者，始通過本考試。</w:t>
      </w:r>
    </w:p>
    <w:p w14:paraId="22C5C5E1" w14:textId="77777777" w:rsidR="002B251D" w:rsidRDefault="00942297">
      <w:pPr>
        <w:pStyle w:val="a0"/>
        <w:overflowPunct w:val="0"/>
        <w:spacing w:line="460" w:lineRule="exact"/>
        <w:ind w:left="1120"/>
        <w:rPr>
          <w:rFonts w:ascii="標楷體" w:eastAsia="標楷體" w:hAnsi="標楷體"/>
          <w:sz w:val="28"/>
          <w:szCs w:val="28"/>
        </w:rPr>
      </w:pPr>
      <w:r>
        <w:rPr>
          <w:rFonts w:ascii="標楷體" w:eastAsia="標楷體" w:hAnsi="標楷體"/>
          <w:sz w:val="28"/>
          <w:szCs w:val="28"/>
        </w:rPr>
        <w:lastRenderedPageBreak/>
        <w:t>前項成績僅</w:t>
      </w:r>
      <w:proofErr w:type="gramStart"/>
      <w:r>
        <w:rPr>
          <w:rFonts w:ascii="標楷體" w:eastAsia="標楷體" w:hAnsi="標楷體"/>
          <w:sz w:val="28"/>
          <w:szCs w:val="28"/>
        </w:rPr>
        <w:t>一</w:t>
      </w:r>
      <w:proofErr w:type="gramEnd"/>
      <w:r>
        <w:rPr>
          <w:rFonts w:ascii="標楷體" w:eastAsia="標楷體" w:hAnsi="標楷體"/>
          <w:sz w:val="28"/>
          <w:szCs w:val="28"/>
        </w:rPr>
        <w:t>科</w:t>
      </w:r>
      <w:proofErr w:type="gramStart"/>
      <w:r>
        <w:rPr>
          <w:rFonts w:ascii="標楷體" w:eastAsia="標楷體" w:hAnsi="標楷體"/>
          <w:sz w:val="28"/>
          <w:szCs w:val="28"/>
        </w:rPr>
        <w:t>或數科及格</w:t>
      </w:r>
      <w:proofErr w:type="gramEnd"/>
      <w:r>
        <w:rPr>
          <w:rFonts w:ascii="標楷體" w:eastAsia="標楷體" w:hAnsi="標楷體"/>
          <w:sz w:val="28"/>
          <w:szCs w:val="28"/>
        </w:rPr>
        <w:t>者，其及格科目成績自翌年起，三年內參加本考試時，得予</w:t>
      </w:r>
      <w:proofErr w:type="gramStart"/>
      <w:r>
        <w:rPr>
          <w:rFonts w:ascii="標楷體" w:eastAsia="標楷體" w:hAnsi="標楷體"/>
          <w:sz w:val="28"/>
          <w:szCs w:val="28"/>
        </w:rPr>
        <w:t>採</w:t>
      </w:r>
      <w:proofErr w:type="gramEnd"/>
      <w:r>
        <w:rPr>
          <w:rFonts w:ascii="標楷體" w:eastAsia="標楷體" w:hAnsi="標楷體"/>
          <w:sz w:val="28"/>
          <w:szCs w:val="28"/>
        </w:rPr>
        <w:t>計。</w:t>
      </w:r>
    </w:p>
    <w:p w14:paraId="1844FD6A" w14:textId="77777777" w:rsidR="002B251D" w:rsidRDefault="00942297">
      <w:pPr>
        <w:pStyle w:val="a0"/>
        <w:overflowPunct w:val="0"/>
        <w:spacing w:line="460" w:lineRule="exact"/>
        <w:ind w:left="560" w:hanging="560"/>
        <w:rPr>
          <w:rFonts w:ascii="標楷體" w:eastAsia="標楷體" w:hAnsi="標楷體"/>
          <w:sz w:val="28"/>
          <w:szCs w:val="28"/>
        </w:rPr>
      </w:pPr>
      <w:r>
        <w:rPr>
          <w:rFonts w:ascii="標楷體" w:eastAsia="標楷體" w:hAnsi="標楷體"/>
          <w:sz w:val="28"/>
          <w:szCs w:val="28"/>
        </w:rPr>
        <w:t>九、依教育部辦理國內大學校院華語教學系所及學位</w:t>
      </w:r>
      <w:proofErr w:type="gramStart"/>
      <w:r>
        <w:rPr>
          <w:rFonts w:ascii="標楷體" w:eastAsia="標楷體" w:hAnsi="標楷體"/>
          <w:sz w:val="28"/>
          <w:szCs w:val="28"/>
        </w:rPr>
        <w:t>學程評核</w:t>
      </w:r>
      <w:proofErr w:type="gramEnd"/>
      <w:r>
        <w:rPr>
          <w:rFonts w:ascii="標楷體" w:eastAsia="標楷體" w:hAnsi="標楷體"/>
          <w:sz w:val="28"/>
          <w:szCs w:val="28"/>
        </w:rPr>
        <w:t>作業要點規定評核通過之國內大學校院，其華語教學系、所及學位學程特定學年入學（詳列於本考試簡章附錄）之畢業生，於該評核作業要點廢止後參加本考試者，</w:t>
      </w:r>
      <w:proofErr w:type="gramStart"/>
      <w:r>
        <w:rPr>
          <w:rFonts w:ascii="標楷體" w:eastAsia="標楷體" w:hAnsi="標楷體"/>
          <w:sz w:val="28"/>
          <w:szCs w:val="28"/>
        </w:rPr>
        <w:t>得憑系所</w:t>
      </w:r>
      <w:proofErr w:type="gramEnd"/>
      <w:r>
        <w:rPr>
          <w:rFonts w:ascii="標楷體" w:eastAsia="標楷體" w:hAnsi="標楷體"/>
          <w:sz w:val="28"/>
          <w:szCs w:val="28"/>
        </w:rPr>
        <w:t>或學位學程畢業證書申請免考國文與華人社會文化、漢語語言學與華語文教學二項科目。</w:t>
      </w:r>
    </w:p>
    <w:p w14:paraId="29BA9996" w14:textId="77777777" w:rsidR="002B251D" w:rsidRDefault="00942297">
      <w:pPr>
        <w:pStyle w:val="a0"/>
        <w:overflowPunct w:val="0"/>
        <w:spacing w:line="460" w:lineRule="exact"/>
        <w:ind w:left="560" w:hanging="560"/>
        <w:rPr>
          <w:rFonts w:ascii="標楷體" w:eastAsia="標楷體" w:hAnsi="標楷體"/>
          <w:sz w:val="28"/>
          <w:szCs w:val="28"/>
        </w:rPr>
      </w:pPr>
      <w:r>
        <w:rPr>
          <w:rFonts w:ascii="標楷體" w:eastAsia="標楷體" w:hAnsi="標楷體"/>
          <w:sz w:val="28"/>
          <w:szCs w:val="28"/>
        </w:rPr>
        <w:t>十、本部發現應考人或審查申請人有冒名頂替、偽造文書或任何</w:t>
      </w:r>
      <w:proofErr w:type="gramStart"/>
      <w:r>
        <w:rPr>
          <w:rFonts w:ascii="標楷體" w:eastAsia="標楷體" w:hAnsi="標楷體"/>
          <w:sz w:val="28"/>
          <w:szCs w:val="28"/>
        </w:rPr>
        <w:t>不</w:t>
      </w:r>
      <w:proofErr w:type="gramEnd"/>
      <w:r>
        <w:rPr>
          <w:rFonts w:ascii="標楷體" w:eastAsia="標楷體" w:hAnsi="標楷體"/>
          <w:sz w:val="28"/>
          <w:szCs w:val="28"/>
        </w:rPr>
        <w:t>實情事者，得撤銷其應考或審查資格；已發給本證書者，得命其返還本證書或註銷之。</w:t>
      </w:r>
    </w:p>
    <w:p w14:paraId="76A2CD4E" w14:textId="77777777" w:rsidR="002B251D" w:rsidRDefault="00942297">
      <w:pPr>
        <w:pStyle w:val="a0"/>
        <w:overflowPunct w:val="0"/>
        <w:spacing w:line="460" w:lineRule="exact"/>
        <w:ind w:left="560" w:hanging="560"/>
        <w:rPr>
          <w:rFonts w:ascii="標楷體" w:eastAsia="標楷體" w:hAnsi="標楷體"/>
          <w:sz w:val="28"/>
          <w:szCs w:val="28"/>
        </w:rPr>
      </w:pPr>
      <w:r>
        <w:rPr>
          <w:rFonts w:ascii="標楷體" w:eastAsia="標楷體" w:hAnsi="標楷體"/>
          <w:sz w:val="28"/>
          <w:szCs w:val="28"/>
        </w:rPr>
        <w:t>十一、本部得視實際需要，分級辦理對外華語教學能力認證。</w:t>
      </w:r>
    </w:p>
    <w:p w14:paraId="5EAB23EB" w14:textId="77777777" w:rsidR="002B251D" w:rsidRDefault="00942297">
      <w:pPr>
        <w:pStyle w:val="a0"/>
        <w:overflowPunct w:val="0"/>
        <w:spacing w:line="460" w:lineRule="exact"/>
        <w:ind w:left="851" w:hanging="851"/>
      </w:pPr>
      <w:r>
        <w:rPr>
          <w:rFonts w:ascii="標楷體" w:eastAsia="標楷體" w:hAnsi="標楷體"/>
          <w:sz w:val="28"/>
          <w:szCs w:val="28"/>
        </w:rPr>
        <w:t>十二、取得本證書者，僅證明具華語教</w:t>
      </w:r>
      <w:r>
        <w:rPr>
          <w:rFonts w:ascii="標楷體" w:eastAsia="標楷體" w:hAnsi="標楷體"/>
          <w:sz w:val="28"/>
          <w:szCs w:val="28"/>
        </w:rPr>
        <w:t>學能力，本部無協助就業及分發之義務。</w:t>
      </w:r>
    </w:p>
    <w:sectPr w:rsidR="002B251D">
      <w:pgSz w:w="11906" w:h="16838"/>
      <w:pgMar w:top="1418" w:right="1418" w:bottom="1418" w:left="1701" w:header="720" w:footer="720" w:gutter="0"/>
      <w:cols w:space="720"/>
      <w:docGrid w:type="line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FA257" w14:textId="77777777" w:rsidR="00942297" w:rsidRDefault="00942297">
      <w:r>
        <w:separator/>
      </w:r>
    </w:p>
  </w:endnote>
  <w:endnote w:type="continuationSeparator" w:id="0">
    <w:p w14:paraId="20B1D059" w14:textId="77777777" w:rsidR="00942297" w:rsidRDefault="00942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A95E9" w14:textId="77777777" w:rsidR="00942297" w:rsidRDefault="00942297">
      <w:r>
        <w:rPr>
          <w:color w:val="000000"/>
        </w:rPr>
        <w:separator/>
      </w:r>
    </w:p>
  </w:footnote>
  <w:footnote w:type="continuationSeparator" w:id="0">
    <w:p w14:paraId="4EEC64E9" w14:textId="77777777" w:rsidR="00942297" w:rsidRDefault="009422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76FBC"/>
    <w:multiLevelType w:val="multilevel"/>
    <w:tmpl w:val="8FE27BCE"/>
    <w:lvl w:ilvl="0">
      <w:start w:val="1"/>
      <w:numFmt w:val="decimal"/>
      <w:lvlText w:val="%1."/>
      <w:lvlJc w:val="left"/>
      <w:pPr>
        <w:ind w:left="1494" w:hanging="360"/>
      </w:pPr>
      <w:rPr>
        <w:rFonts w:ascii="標楷體" w:eastAsia="標楷體" w:hAnsi="標楷體"/>
        <w:sz w:val="28"/>
        <w:szCs w:val="28"/>
      </w:rPr>
    </w:lvl>
    <w:lvl w:ilvl="1">
      <w:start w:val="1"/>
      <w:numFmt w:val="decimal"/>
      <w:lvlText w:val="（%2）"/>
      <w:lvlJc w:val="left"/>
      <w:pPr>
        <w:ind w:left="2094" w:hanging="480"/>
      </w:pPr>
      <w:rPr>
        <w:rFonts w:ascii="Times New Roman" w:hAnsi="Times New Roman" w:cs="Times New Roman"/>
      </w:r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1" w15:restartNumberingAfterBreak="0">
    <w:nsid w:val="70CF791E"/>
    <w:multiLevelType w:val="multilevel"/>
    <w:tmpl w:val="9E7A2D18"/>
    <w:lvl w:ilvl="0">
      <w:start w:val="1"/>
      <w:numFmt w:val="taiwaneseCountingThousand"/>
      <w:lvlText w:val="（%1)"/>
      <w:lvlJc w:val="left"/>
      <w:pPr>
        <w:ind w:left="1713" w:hanging="720"/>
      </w:pPr>
      <w:rPr>
        <w:lang w:val="en-US"/>
      </w:rPr>
    </w:lvl>
    <w:lvl w:ilvl="1">
      <w:start w:val="1"/>
      <w:numFmt w:val="ideographTraditional"/>
      <w:lvlText w:val="%2、"/>
      <w:lvlJc w:val="left"/>
      <w:pPr>
        <w:ind w:left="1953" w:hanging="480"/>
      </w:pPr>
    </w:lvl>
    <w:lvl w:ilvl="2">
      <w:start w:val="1"/>
      <w:numFmt w:val="lowerRoman"/>
      <w:lvlText w:val="%3."/>
      <w:lvlJc w:val="right"/>
      <w:pPr>
        <w:ind w:left="2433" w:hanging="480"/>
      </w:pPr>
    </w:lvl>
    <w:lvl w:ilvl="3">
      <w:start w:val="1"/>
      <w:numFmt w:val="decimal"/>
      <w:lvlText w:val="%4."/>
      <w:lvlJc w:val="left"/>
      <w:pPr>
        <w:ind w:left="2913" w:hanging="480"/>
      </w:pPr>
    </w:lvl>
    <w:lvl w:ilvl="4">
      <w:start w:val="1"/>
      <w:numFmt w:val="ideographTraditional"/>
      <w:lvlText w:val="%5、"/>
      <w:lvlJc w:val="left"/>
      <w:pPr>
        <w:ind w:left="3393" w:hanging="480"/>
      </w:pPr>
    </w:lvl>
    <w:lvl w:ilvl="5">
      <w:start w:val="1"/>
      <w:numFmt w:val="lowerRoman"/>
      <w:lvlText w:val="%6."/>
      <w:lvlJc w:val="right"/>
      <w:pPr>
        <w:ind w:left="3873" w:hanging="480"/>
      </w:pPr>
    </w:lvl>
    <w:lvl w:ilvl="6">
      <w:start w:val="1"/>
      <w:numFmt w:val="decimal"/>
      <w:lvlText w:val="%7."/>
      <w:lvlJc w:val="left"/>
      <w:pPr>
        <w:ind w:left="4353" w:hanging="480"/>
      </w:pPr>
    </w:lvl>
    <w:lvl w:ilvl="7">
      <w:start w:val="1"/>
      <w:numFmt w:val="ideographTraditional"/>
      <w:lvlText w:val="%8、"/>
      <w:lvlJc w:val="left"/>
      <w:pPr>
        <w:ind w:left="4833" w:hanging="480"/>
      </w:pPr>
    </w:lvl>
    <w:lvl w:ilvl="8">
      <w:start w:val="1"/>
      <w:numFmt w:val="lowerRoman"/>
      <w:lvlText w:val="%9."/>
      <w:lvlJc w:val="right"/>
      <w:pPr>
        <w:ind w:left="5313"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2B251D"/>
    <w:rsid w:val="00046B4A"/>
    <w:rsid w:val="002B251D"/>
    <w:rsid w:val="009422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B2FB4"/>
  <w15:docId w15:val="{43E3AE8D-8459-4AF8-BEDA-22BE8D71F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Times New Roman" w:hAnsi="Times New Roman"/>
      <w:kern w:val="0"/>
      <w:sz w:val="20"/>
      <w:szCs w:val="20"/>
    </w:rPr>
  </w:style>
  <w:style w:type="paragraph" w:styleId="1">
    <w:name w:val="heading 1"/>
    <w:basedOn w:val="a0"/>
    <w:next w:val="a0"/>
    <w:uiPriority w:val="9"/>
    <w:qFormat/>
    <w:pPr>
      <w:keepNext/>
      <w:spacing w:before="180" w:after="180" w:line="720" w:lineRule="auto"/>
      <w:outlineLvl w:val="0"/>
    </w:pPr>
    <w:rPr>
      <w:rFonts w:ascii="Cambria" w:hAnsi="Cambria"/>
      <w:b/>
      <w:bCs/>
      <w:sz w:val="52"/>
      <w:szCs w:val="52"/>
    </w:rPr>
  </w:style>
  <w:style w:type="paragraph" w:styleId="2">
    <w:name w:val="heading 2"/>
    <w:basedOn w:val="a0"/>
    <w:next w:val="a0"/>
    <w:uiPriority w:val="9"/>
    <w:semiHidden/>
    <w:unhideWhenUsed/>
    <w:qFormat/>
    <w:pPr>
      <w:keepNext/>
      <w:spacing w:line="720" w:lineRule="auto"/>
      <w:outlineLvl w:val="1"/>
    </w:pPr>
    <w:rPr>
      <w:rFonts w:ascii="Cambria" w:hAnsi="Cambria"/>
      <w:b/>
      <w:bCs/>
      <w:sz w:val="48"/>
      <w:szCs w:val="48"/>
    </w:rPr>
  </w:style>
  <w:style w:type="paragraph" w:styleId="3">
    <w:name w:val="heading 3"/>
    <w:basedOn w:val="a0"/>
    <w:next w:val="a0"/>
    <w:uiPriority w:val="9"/>
    <w:semiHidden/>
    <w:unhideWhenUsed/>
    <w:qFormat/>
    <w:pPr>
      <w:keepNext/>
      <w:spacing w:line="720" w:lineRule="auto"/>
      <w:outlineLvl w:val="2"/>
    </w:pPr>
    <w:rPr>
      <w:rFonts w:ascii="Cambria" w:hAnsi="Cambria"/>
      <w:b/>
      <w:bCs/>
      <w:sz w:val="36"/>
      <w:szCs w:val="36"/>
    </w:rPr>
  </w:style>
  <w:style w:type="paragraph" w:styleId="4">
    <w:name w:val="heading 4"/>
    <w:basedOn w:val="a0"/>
    <w:next w:val="a0"/>
    <w:uiPriority w:val="9"/>
    <w:semiHidden/>
    <w:unhideWhenUsed/>
    <w:qFormat/>
    <w:pPr>
      <w:keepNext/>
      <w:spacing w:line="720" w:lineRule="auto"/>
      <w:outlineLvl w:val="3"/>
    </w:pPr>
    <w:rPr>
      <w:rFonts w:ascii="Cambria" w:hAnsi="Cambria"/>
      <w:sz w:val="36"/>
      <w:szCs w:val="36"/>
    </w:rPr>
  </w:style>
  <w:style w:type="paragraph" w:styleId="5">
    <w:name w:val="heading 5"/>
    <w:basedOn w:val="a0"/>
    <w:next w:val="a0"/>
    <w:uiPriority w:val="9"/>
    <w:semiHidden/>
    <w:unhideWhenUsed/>
    <w:qFormat/>
    <w:pPr>
      <w:keepNext/>
      <w:tabs>
        <w:tab w:val="left" w:pos="0"/>
      </w:tabs>
      <w:spacing w:line="720" w:lineRule="auto"/>
      <w:ind w:left="200"/>
      <w:outlineLvl w:val="4"/>
    </w:pPr>
    <w:rPr>
      <w:rFonts w:ascii="Cambria" w:hAnsi="Cambria"/>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rPr>
      <w:rFonts w:ascii="Cambria" w:eastAsia="新細明體" w:hAnsi="Cambria" w:cs="Times New Roman"/>
      <w:b/>
      <w:bCs/>
      <w:sz w:val="52"/>
      <w:szCs w:val="52"/>
    </w:rPr>
  </w:style>
  <w:style w:type="character" w:customStyle="1" w:styleId="20">
    <w:name w:val="標題 2 字元"/>
    <w:basedOn w:val="a1"/>
    <w:rPr>
      <w:rFonts w:ascii="Cambria" w:eastAsia="新細明體" w:hAnsi="Cambria" w:cs="Times New Roman"/>
      <w:b/>
      <w:bCs/>
      <w:sz w:val="48"/>
      <w:szCs w:val="48"/>
    </w:rPr>
  </w:style>
  <w:style w:type="character" w:customStyle="1" w:styleId="30">
    <w:name w:val="標題 3 字元"/>
    <w:basedOn w:val="a1"/>
    <w:rPr>
      <w:rFonts w:ascii="Cambria" w:eastAsia="新細明體" w:hAnsi="Cambria" w:cs="Times New Roman"/>
      <w:b/>
      <w:bCs/>
      <w:sz w:val="36"/>
      <w:szCs w:val="36"/>
    </w:rPr>
  </w:style>
  <w:style w:type="character" w:customStyle="1" w:styleId="40">
    <w:name w:val="標題 4 字元"/>
    <w:basedOn w:val="a1"/>
    <w:rPr>
      <w:rFonts w:ascii="Cambria" w:eastAsia="新細明體" w:hAnsi="Cambria" w:cs="Times New Roman"/>
      <w:sz w:val="36"/>
      <w:szCs w:val="36"/>
    </w:rPr>
  </w:style>
  <w:style w:type="character" w:customStyle="1" w:styleId="50">
    <w:name w:val="標題 5 字元"/>
    <w:basedOn w:val="a1"/>
    <w:rPr>
      <w:rFonts w:ascii="Cambria" w:eastAsia="新細明體" w:hAnsi="Cambria" w:cs="Times New Roman"/>
      <w:b/>
      <w:bCs/>
      <w:sz w:val="36"/>
      <w:szCs w:val="36"/>
    </w:rPr>
  </w:style>
  <w:style w:type="character" w:styleId="a4">
    <w:name w:val="footnote reference"/>
    <w:basedOn w:val="a1"/>
    <w:rPr>
      <w:position w:val="0"/>
      <w:vertAlign w:val="superscript"/>
    </w:rPr>
  </w:style>
  <w:style w:type="paragraph" w:styleId="a0">
    <w:name w:val="Body Text"/>
    <w:pPr>
      <w:widowControl w:val="0"/>
      <w:suppressAutoHyphens/>
    </w:pPr>
  </w:style>
  <w:style w:type="character" w:customStyle="1" w:styleId="a5">
    <w:name w:val="本文 字元"/>
    <w:basedOn w:val="a1"/>
    <w:rPr>
      <w:rFonts w:ascii="Calibri" w:eastAsia="新細明體" w:hAnsi="Calibri" w:cs="Times New Roman"/>
    </w:rPr>
  </w:style>
  <w:style w:type="paragraph" w:customStyle="1" w:styleId="-1">
    <w:name w:val="標題-1"/>
    <w:basedOn w:val="a0"/>
    <w:pPr>
      <w:spacing w:after="120" w:line="0" w:lineRule="atLeast"/>
    </w:pPr>
    <w:rPr>
      <w:rFonts w:ascii="Arial" w:eastAsia="標楷體" w:hAnsi="Arial"/>
      <w:sz w:val="40"/>
    </w:rPr>
  </w:style>
  <w:style w:type="paragraph" w:styleId="a6">
    <w:name w:val="header"/>
    <w:basedOn w:val="a0"/>
    <w:pPr>
      <w:tabs>
        <w:tab w:val="center" w:pos="4153"/>
        <w:tab w:val="right" w:pos="8306"/>
      </w:tabs>
      <w:snapToGrid w:val="0"/>
    </w:pPr>
    <w:rPr>
      <w:sz w:val="20"/>
      <w:szCs w:val="20"/>
    </w:rPr>
  </w:style>
  <w:style w:type="character" w:customStyle="1" w:styleId="a7">
    <w:name w:val="頁首 字元"/>
    <w:basedOn w:val="a1"/>
    <w:rPr>
      <w:rFonts w:ascii="Times New Roman" w:eastAsia="新細明體" w:hAnsi="Times New Roman" w:cs="Times New Roman"/>
      <w:kern w:val="0"/>
      <w:sz w:val="20"/>
      <w:szCs w:val="20"/>
    </w:rPr>
  </w:style>
  <w:style w:type="paragraph" w:styleId="41">
    <w:name w:val="toc 4"/>
    <w:basedOn w:val="a0"/>
    <w:next w:val="a0"/>
    <w:autoRedefine/>
    <w:pPr>
      <w:tabs>
        <w:tab w:val="right" w:leader="dot" w:pos="8302"/>
      </w:tabs>
      <w:overflowPunct w:val="0"/>
      <w:ind w:left="480" w:hanging="480"/>
    </w:pPr>
    <w:rPr>
      <w:rFonts w:ascii="標楷體" w:eastAsia="標楷體" w:hAnsi="標楷體"/>
      <w:b/>
      <w:bCs/>
      <w:sz w:val="28"/>
      <w:szCs w:val="28"/>
      <w:shd w:val="clear" w:color="auto" w:fill="FFFFFF"/>
    </w:rPr>
  </w:style>
  <w:style w:type="paragraph" w:styleId="a8">
    <w:name w:val="footnote text"/>
    <w:basedOn w:val="a"/>
    <w:pPr>
      <w:suppressLineNumbers/>
      <w:ind w:left="340" w:hanging="340"/>
    </w:pPr>
  </w:style>
  <w:style w:type="character" w:customStyle="1" w:styleId="a9">
    <w:name w:val="註腳文字 字元"/>
    <w:basedOn w:val="a1"/>
    <w:rPr>
      <w:rFonts w:ascii="Times New Roman" w:eastAsia="新細明體" w:hAnsi="Times New Roman" w:cs="Times New Roman"/>
      <w:kern w:val="0"/>
      <w:sz w:val="20"/>
      <w:szCs w:val="20"/>
    </w:rPr>
  </w:style>
  <w:style w:type="character" w:customStyle="1" w:styleId="11">
    <w:name w:val="頁首 字元1"/>
    <w:basedOn w:val="a1"/>
    <w:rPr>
      <w:rFonts w:ascii="Calibri" w:eastAsia="新細明體" w:hAnsi="Calibri" w:cs="Times New Roman"/>
      <w:sz w:val="20"/>
      <w:szCs w:val="20"/>
    </w:rPr>
  </w:style>
  <w:style w:type="paragraph" w:styleId="aa">
    <w:name w:val="footer"/>
    <w:basedOn w:val="a"/>
    <w:pPr>
      <w:tabs>
        <w:tab w:val="center" w:pos="4153"/>
        <w:tab w:val="right" w:pos="8306"/>
      </w:tabs>
      <w:snapToGrid w:val="0"/>
    </w:pPr>
  </w:style>
  <w:style w:type="character" w:customStyle="1" w:styleId="ab">
    <w:name w:val="頁尾 字元"/>
    <w:basedOn w:val="a1"/>
    <w:rPr>
      <w:rFonts w:ascii="Times New Roman" w:eastAsia="新細明體" w:hAnsi="Times New Roman"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228</Words>
  <Characters>1305</Characters>
  <Application>Microsoft Office Word</Application>
  <DocSecurity>0</DocSecurity>
  <Lines>10</Lines>
  <Paragraphs>3</Paragraphs>
  <ScaleCrop>false</ScaleCrop>
  <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劉文琳</dc:creator>
  <dc:description/>
  <cp:lastModifiedBy>User</cp:lastModifiedBy>
  <cp:revision>2</cp:revision>
  <dcterms:created xsi:type="dcterms:W3CDTF">2026-08-14T01:42:00Z</dcterms:created>
  <dcterms:modified xsi:type="dcterms:W3CDTF">2026-08-14T01:42:00Z</dcterms:modified>
</cp:coreProperties>
</file>